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600" w:lineRule="exact"/>
        <w:jc w:val="center"/>
        <w:rPr>
          <w:rFonts w:ascii="方正小标宋简体" w:eastAsia="方正小标宋简体"/>
          <w:sz w:val="44"/>
          <w:szCs w:val="44"/>
        </w:rPr>
      </w:pPr>
      <w:r>
        <w:rPr>
          <w:rFonts w:hint="eastAsia" w:ascii="方正小标宋简体" w:eastAsia="方正小标宋简体"/>
          <w:sz w:val="44"/>
          <w:szCs w:val="44"/>
        </w:rPr>
        <w:t>江西省中等职业学校分级标准（试行）</w:t>
      </w:r>
    </w:p>
    <w:p>
      <w:pPr>
        <w:spacing w:after="156" w:afterLines="50" w:line="600" w:lineRule="exact"/>
        <w:jc w:val="center"/>
        <w:rPr>
          <w:rFonts w:ascii="楷体_GB2312" w:eastAsia="楷体_GB2312"/>
          <w:sz w:val="32"/>
          <w:szCs w:val="32"/>
        </w:rPr>
      </w:pPr>
      <w:r>
        <w:rPr>
          <w:rFonts w:hint="eastAsia" w:ascii="楷体_GB2312" w:eastAsia="楷体_GB2312"/>
          <w:sz w:val="32"/>
          <w:szCs w:val="32"/>
        </w:rPr>
        <w:t>（基础指标部分）</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781"/>
        <w:gridCol w:w="3295"/>
        <w:gridCol w:w="3295"/>
        <w:gridCol w:w="3295"/>
        <w:gridCol w:w="1320"/>
        <w:gridCol w:w="10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405" w:hRule="atLeast"/>
          <w:tblHeader/>
          <w:jc w:val="center"/>
        </w:trPr>
        <w:tc>
          <w:tcPr>
            <w:tcW w:w="14014" w:type="dxa"/>
            <w:gridSpan w:val="6"/>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jc w:val="left"/>
              <w:rPr>
                <w:rFonts w:hint="eastAsia" w:ascii="黑体" w:hAnsi="黑体" w:eastAsia="黑体" w:cs="宋体"/>
                <w:sz w:val="24"/>
                <w:lang w:eastAsia="zh-CN"/>
              </w:rPr>
            </w:pPr>
            <w:r>
              <w:rPr>
                <w:rFonts w:hint="eastAsia" w:ascii="黑体" w:hAnsi="黑体" w:eastAsia="黑体" w:cs="宋体"/>
                <w:sz w:val="24"/>
                <w:lang w:eastAsia="zh-CN"/>
              </w:rPr>
              <w:t>学校名称：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405" w:hRule="atLeast"/>
          <w:tblHeader/>
          <w:jc w:val="center"/>
        </w:trPr>
        <w:tc>
          <w:tcPr>
            <w:tcW w:w="1781" w:type="dxa"/>
            <w:tcBorders>
              <w:top w:val="single" w:color="000000" w:sz="6" w:space="0"/>
              <w:bottom w:val="single" w:color="auto" w:sz="4" w:space="0"/>
              <w:tl2br w:val="single" w:color="auto" w:sz="4" w:space="0"/>
            </w:tcBorders>
            <w:shd w:val="clear" w:color="auto" w:fill="auto"/>
            <w:noWrap w:val="0"/>
            <w:vAlign w:val="center"/>
          </w:tcPr>
          <w:p>
            <w:pPr>
              <w:spacing w:before="46" w:beforeLines="15"/>
              <w:ind w:firstLine="1080" w:firstLineChars="450"/>
              <w:rPr>
                <w:rFonts w:hint="eastAsia" w:ascii="黑体" w:hAnsi="黑体" w:eastAsia="黑体"/>
                <w:sz w:val="24"/>
              </w:rPr>
            </w:pPr>
            <w:r>
              <w:rPr>
                <w:rFonts w:hint="eastAsia" w:ascii="黑体" w:hAnsi="黑体" w:eastAsia="黑体"/>
                <w:sz w:val="24"/>
              </w:rPr>
              <w:t>等级</w:t>
            </w:r>
          </w:p>
          <w:p>
            <w:pPr>
              <w:ind w:firstLine="360" w:firstLineChars="150"/>
              <w:rPr>
                <w:rFonts w:hint="eastAsia" w:ascii="黑体" w:hAnsi="黑体" w:eastAsia="黑体" w:cs="宋体"/>
                <w:sz w:val="24"/>
              </w:rPr>
            </w:pPr>
            <w:r>
              <w:rPr>
                <w:rFonts w:hint="eastAsia" w:ascii="黑体" w:hAnsi="黑体" w:eastAsia="黑体" w:cs="宋体"/>
                <w:sz w:val="24"/>
              </w:rPr>
              <w:t>指标</w:t>
            </w:r>
          </w:p>
        </w:tc>
        <w:tc>
          <w:tcPr>
            <w:tcW w:w="3295" w:type="dxa"/>
            <w:tcBorders>
              <w:top w:val="single" w:color="000000" w:sz="6" w:space="0"/>
            </w:tcBorders>
            <w:shd w:val="clear" w:color="auto" w:fill="auto"/>
            <w:noWrap w:val="0"/>
            <w:vAlign w:val="center"/>
          </w:tcPr>
          <w:p>
            <w:pPr>
              <w:jc w:val="center"/>
              <w:rPr>
                <w:rFonts w:hint="eastAsia" w:ascii="黑体" w:hAnsi="黑体" w:eastAsia="黑体" w:cs="宋体"/>
                <w:sz w:val="24"/>
              </w:rPr>
            </w:pPr>
            <w:r>
              <w:rPr>
                <w:rFonts w:hint="eastAsia" w:ascii="黑体" w:hAnsi="黑体" w:eastAsia="黑体" w:cs="宋体"/>
                <w:sz w:val="24"/>
              </w:rPr>
              <w:t>A档（优质）</w:t>
            </w:r>
          </w:p>
        </w:tc>
        <w:tc>
          <w:tcPr>
            <w:tcW w:w="3295" w:type="dxa"/>
            <w:tcBorders>
              <w:top w:val="single" w:color="000000" w:sz="6" w:space="0"/>
            </w:tcBorders>
            <w:shd w:val="clear" w:color="auto" w:fill="auto"/>
            <w:noWrap w:val="0"/>
            <w:vAlign w:val="center"/>
          </w:tcPr>
          <w:p>
            <w:pPr>
              <w:jc w:val="center"/>
              <w:rPr>
                <w:rFonts w:hint="eastAsia" w:ascii="黑体" w:hAnsi="黑体" w:eastAsia="黑体" w:cs="宋体"/>
                <w:sz w:val="24"/>
              </w:rPr>
            </w:pPr>
            <w:r>
              <w:rPr>
                <w:rFonts w:hint="eastAsia" w:ascii="黑体" w:hAnsi="黑体" w:eastAsia="黑体"/>
                <w:sz w:val="24"/>
              </w:rPr>
              <w:t>B档（规范）</w:t>
            </w:r>
          </w:p>
        </w:tc>
        <w:tc>
          <w:tcPr>
            <w:tcW w:w="3295" w:type="dxa"/>
            <w:tcBorders>
              <w:top w:val="single" w:color="000000" w:sz="6" w:space="0"/>
            </w:tcBorders>
            <w:shd w:val="clear" w:color="auto" w:fill="auto"/>
            <w:noWrap w:val="0"/>
            <w:vAlign w:val="center"/>
          </w:tcPr>
          <w:p>
            <w:pPr>
              <w:jc w:val="center"/>
              <w:rPr>
                <w:rFonts w:hint="eastAsia" w:ascii="黑体" w:hAnsi="黑体" w:eastAsia="黑体" w:cs="宋体"/>
                <w:sz w:val="24"/>
              </w:rPr>
            </w:pPr>
            <w:r>
              <w:rPr>
                <w:rFonts w:hint="eastAsia" w:ascii="黑体" w:hAnsi="黑体" w:eastAsia="黑体" w:cs="宋体"/>
                <w:sz w:val="24"/>
              </w:rPr>
              <w:t>C档（达标）</w:t>
            </w:r>
          </w:p>
        </w:tc>
        <w:tc>
          <w:tcPr>
            <w:tcW w:w="1320" w:type="dxa"/>
            <w:tcBorders>
              <w:top w:val="single" w:color="000000" w:sz="6" w:space="0"/>
            </w:tcBorders>
            <w:shd w:val="clear" w:color="auto" w:fill="auto"/>
            <w:noWrap w:val="0"/>
            <w:vAlign w:val="center"/>
          </w:tcPr>
          <w:p>
            <w:pPr>
              <w:jc w:val="center"/>
              <w:rPr>
                <w:rFonts w:hint="eastAsia" w:ascii="黑体" w:hAnsi="黑体" w:eastAsia="黑体" w:cs="宋体"/>
                <w:sz w:val="24"/>
                <w:lang w:eastAsia="zh-CN"/>
              </w:rPr>
            </w:pPr>
            <w:r>
              <w:rPr>
                <w:rFonts w:hint="eastAsia" w:ascii="黑体" w:hAnsi="黑体" w:eastAsia="黑体" w:cs="宋体"/>
                <w:sz w:val="24"/>
                <w:lang w:eastAsia="zh-CN"/>
              </w:rPr>
              <w:t>学校情况</w:t>
            </w:r>
          </w:p>
        </w:tc>
        <w:tc>
          <w:tcPr>
            <w:tcW w:w="1028" w:type="dxa"/>
            <w:tcBorders>
              <w:top w:val="single" w:color="000000" w:sz="6" w:space="0"/>
            </w:tcBorders>
            <w:shd w:val="clear" w:color="auto" w:fill="auto"/>
            <w:noWrap w:val="0"/>
            <w:vAlign w:val="center"/>
          </w:tcPr>
          <w:p>
            <w:pPr>
              <w:jc w:val="center"/>
              <w:rPr>
                <w:rFonts w:hint="eastAsia" w:ascii="黑体" w:hAnsi="黑体" w:eastAsia="黑体" w:cs="宋体"/>
                <w:sz w:val="24"/>
                <w:lang w:eastAsia="zh-CN"/>
              </w:rPr>
            </w:pPr>
            <w:r>
              <w:rPr>
                <w:rFonts w:hint="eastAsia" w:ascii="黑体" w:hAnsi="黑体" w:eastAsia="黑体" w:cs="宋体"/>
                <w:sz w:val="24"/>
                <w:lang w:eastAsia="zh-CN"/>
              </w:rPr>
              <w:t>自评等级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162" w:hRule="atLeast"/>
          <w:jc w:val="center"/>
        </w:trPr>
        <w:tc>
          <w:tcPr>
            <w:tcW w:w="1781" w:type="dxa"/>
            <w:tcBorders>
              <w:top w:val="single" w:color="auto" w:sz="4" w:space="0"/>
            </w:tcBorders>
            <w:shd w:val="clear" w:color="auto" w:fill="auto"/>
            <w:noWrap w:val="0"/>
            <w:vAlign w:val="center"/>
          </w:tcPr>
          <w:p>
            <w:pPr>
              <w:jc w:val="center"/>
              <w:rPr>
                <w:rFonts w:hint="eastAsia" w:ascii="仿宋_GB2312" w:hAnsi="宋体" w:eastAsia="仿宋_GB2312"/>
                <w:sz w:val="24"/>
              </w:rPr>
            </w:pPr>
            <w:r>
              <w:rPr>
                <w:rFonts w:hint="eastAsia" w:ascii="仿宋_GB2312" w:hAnsi="宋体" w:eastAsia="仿宋_GB2312"/>
                <w:sz w:val="24"/>
              </w:rPr>
              <w:t>1.办学规模</w:t>
            </w:r>
          </w:p>
          <w:p>
            <w:pPr>
              <w:jc w:val="center"/>
              <w:rPr>
                <w:rFonts w:hint="eastAsia" w:ascii="仿宋_GB2312" w:hAnsi="宋体" w:eastAsia="仿宋_GB2312" w:cs="宋体"/>
                <w:sz w:val="24"/>
              </w:rPr>
            </w:pPr>
            <w:r>
              <w:rPr>
                <w:rFonts w:hint="eastAsia" w:ascii="仿宋_GB2312" w:hAnsi="宋体" w:eastAsia="仿宋_GB2312"/>
                <w:sz w:val="24"/>
              </w:rPr>
              <w:t>（核心指标）</w:t>
            </w:r>
          </w:p>
        </w:tc>
        <w:tc>
          <w:tcPr>
            <w:tcW w:w="3295" w:type="dxa"/>
            <w:shd w:val="clear" w:color="auto" w:fill="auto"/>
            <w:noWrap w:val="0"/>
            <w:vAlign w:val="center"/>
          </w:tcPr>
          <w:p>
            <w:pPr>
              <w:rPr>
                <w:rFonts w:hint="eastAsia" w:ascii="仿宋_GB2312" w:hAnsi="宋体" w:eastAsia="仿宋_GB2312" w:cs="宋体"/>
                <w:sz w:val="24"/>
              </w:rPr>
            </w:pPr>
            <w:r>
              <w:rPr>
                <w:rFonts w:hint="eastAsia" w:ascii="仿宋_GB2312" w:hAnsi="宋体" w:eastAsia="仿宋_GB2312"/>
                <w:sz w:val="24"/>
              </w:rPr>
              <w:t>近三年平均学历教育在校生达3000人。</w:t>
            </w:r>
          </w:p>
        </w:tc>
        <w:tc>
          <w:tcPr>
            <w:tcW w:w="3295" w:type="dxa"/>
            <w:shd w:val="clear" w:color="auto" w:fill="auto"/>
            <w:noWrap w:val="0"/>
            <w:vAlign w:val="center"/>
          </w:tcPr>
          <w:p>
            <w:pPr>
              <w:rPr>
                <w:rFonts w:hint="eastAsia" w:ascii="仿宋_GB2312" w:hAnsi="宋体" w:eastAsia="仿宋_GB2312" w:cs="宋体"/>
                <w:sz w:val="24"/>
              </w:rPr>
            </w:pPr>
            <w:r>
              <w:rPr>
                <w:rFonts w:hint="eastAsia" w:ascii="仿宋_GB2312" w:hAnsi="宋体" w:eastAsia="仿宋_GB2312"/>
                <w:sz w:val="24"/>
              </w:rPr>
              <w:t>近三年平均学历教育在校生达2000人。</w:t>
            </w:r>
          </w:p>
        </w:tc>
        <w:tc>
          <w:tcPr>
            <w:tcW w:w="3295" w:type="dxa"/>
            <w:shd w:val="clear" w:color="auto" w:fill="auto"/>
            <w:noWrap w:val="0"/>
            <w:vAlign w:val="center"/>
          </w:tcPr>
          <w:p>
            <w:pPr>
              <w:ind w:left="2640" w:hanging="2640" w:hangingChars="1100"/>
              <w:rPr>
                <w:rFonts w:hint="eastAsia" w:ascii="仿宋_GB2312" w:hAnsi="宋体" w:eastAsia="仿宋_GB2312" w:cs="宋体"/>
                <w:sz w:val="24"/>
              </w:rPr>
            </w:pPr>
            <w:r>
              <w:rPr>
                <w:rFonts w:hint="eastAsia" w:ascii="仿宋_GB2312" w:hAnsi="宋体" w:eastAsia="仿宋_GB2312"/>
                <w:sz w:val="24"/>
              </w:rPr>
              <w:t>近三年平均学历教育在校生达1200人。</w:t>
            </w:r>
          </w:p>
        </w:tc>
        <w:tc>
          <w:tcPr>
            <w:tcW w:w="1320" w:type="dxa"/>
            <w:shd w:val="clear" w:color="auto" w:fill="auto"/>
            <w:noWrap w:val="0"/>
            <w:vAlign w:val="center"/>
          </w:tcPr>
          <w:p>
            <w:pPr>
              <w:rPr>
                <w:rFonts w:hint="eastAsia" w:ascii="仿宋_GB2312" w:hAnsi="宋体" w:eastAsia="仿宋_GB2312"/>
                <w:sz w:val="24"/>
              </w:rPr>
            </w:pPr>
          </w:p>
        </w:tc>
        <w:tc>
          <w:tcPr>
            <w:tcW w:w="1028" w:type="dxa"/>
            <w:shd w:val="clear" w:color="auto" w:fill="auto"/>
            <w:noWrap w:val="0"/>
            <w:vAlign w:val="center"/>
          </w:tcPr>
          <w:p>
            <w:pPr>
              <w:rPr>
                <w:rFonts w:hint="eastAsia" w:ascii="仿宋_GB2312" w:hAnsi="宋体" w:eastAsia="仿宋_GB2312"/>
                <w:sz w:val="24"/>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688" w:hRule="atLeast"/>
          <w:jc w:val="center"/>
        </w:trPr>
        <w:tc>
          <w:tcPr>
            <w:tcW w:w="1781" w:type="dxa"/>
            <w:shd w:val="clear" w:color="auto" w:fill="auto"/>
            <w:noWrap w:val="0"/>
            <w:vAlign w:val="center"/>
          </w:tcPr>
          <w:p>
            <w:pPr>
              <w:jc w:val="center"/>
              <w:rPr>
                <w:rFonts w:hint="eastAsia" w:ascii="仿宋_GB2312" w:hAnsi="宋体" w:eastAsia="仿宋_GB2312"/>
                <w:sz w:val="24"/>
              </w:rPr>
            </w:pPr>
            <w:r>
              <w:rPr>
                <w:rFonts w:hint="eastAsia" w:ascii="仿宋_GB2312" w:hAnsi="宋体" w:eastAsia="仿宋_GB2312"/>
                <w:sz w:val="24"/>
              </w:rPr>
              <w:t>2.教师配备</w:t>
            </w:r>
          </w:p>
          <w:p>
            <w:pPr>
              <w:jc w:val="center"/>
              <w:rPr>
                <w:rFonts w:hint="eastAsia" w:ascii="仿宋_GB2312" w:hAnsi="宋体" w:eastAsia="仿宋_GB2312"/>
                <w:sz w:val="24"/>
              </w:rPr>
            </w:pPr>
            <w:r>
              <w:rPr>
                <w:rFonts w:hint="eastAsia" w:ascii="仿宋_GB2312" w:hAnsi="宋体" w:eastAsia="仿宋_GB2312"/>
                <w:sz w:val="24"/>
              </w:rPr>
              <w:t>（核心指标）</w:t>
            </w:r>
          </w:p>
        </w:tc>
        <w:tc>
          <w:tcPr>
            <w:tcW w:w="3295" w:type="dxa"/>
            <w:shd w:val="clear" w:color="auto" w:fill="auto"/>
            <w:noWrap w:val="0"/>
            <w:vAlign w:val="center"/>
          </w:tcPr>
          <w:p>
            <w:pPr>
              <w:rPr>
                <w:rFonts w:hint="eastAsia" w:ascii="仿宋_GB2312" w:hAnsi="宋体" w:eastAsia="仿宋_GB2312" w:cs="宋体"/>
                <w:sz w:val="24"/>
              </w:rPr>
            </w:pPr>
            <w:r>
              <w:rPr>
                <w:rFonts w:hint="eastAsia" w:ascii="仿宋_GB2312" w:hAnsi="宋体" w:eastAsia="仿宋_GB2312"/>
                <w:sz w:val="24"/>
              </w:rPr>
              <w:t>专任教师师生比在1∶20以内,专业教师数不低于专任教师数的60%。双师型教师比例达专业专任教师的70%，其中，具有与专业相关的技师等级职业资格证书（或中级以上非教师系列专业技术职务、执业资格）的教师不低于40%。</w:t>
            </w:r>
          </w:p>
        </w:tc>
        <w:tc>
          <w:tcPr>
            <w:tcW w:w="3295" w:type="dxa"/>
            <w:shd w:val="clear" w:color="auto" w:fill="auto"/>
            <w:noWrap w:val="0"/>
            <w:vAlign w:val="center"/>
          </w:tcPr>
          <w:p>
            <w:pPr>
              <w:rPr>
                <w:rFonts w:hint="eastAsia" w:ascii="仿宋_GB2312" w:hAnsi="宋体" w:eastAsia="仿宋_GB2312" w:cs="宋体"/>
                <w:sz w:val="24"/>
              </w:rPr>
            </w:pPr>
            <w:r>
              <w:rPr>
                <w:rFonts w:hint="eastAsia" w:ascii="仿宋_GB2312" w:hAnsi="宋体" w:eastAsia="仿宋_GB2312"/>
                <w:sz w:val="24"/>
              </w:rPr>
              <w:t>专任教师师生比在1∶20以内,专业教师数不低于专任教师数的60%。双师型教师比例达专业专任教师的60%，其中，具有与专业相关的技师等级职业资格证书（或中级以上非教师系列专业技术职务、执业资格）的教师不低于30%。</w:t>
            </w:r>
          </w:p>
        </w:tc>
        <w:tc>
          <w:tcPr>
            <w:tcW w:w="3295" w:type="dxa"/>
            <w:shd w:val="clear" w:color="auto" w:fill="auto"/>
            <w:noWrap w:val="0"/>
            <w:vAlign w:val="center"/>
          </w:tcPr>
          <w:p>
            <w:pPr>
              <w:rPr>
                <w:rFonts w:hint="eastAsia" w:ascii="仿宋_GB2312" w:hAnsi="宋体" w:eastAsia="仿宋_GB2312" w:cs="宋体"/>
                <w:sz w:val="24"/>
              </w:rPr>
            </w:pPr>
            <w:r>
              <w:rPr>
                <w:rFonts w:hint="eastAsia" w:ascii="仿宋_GB2312" w:hAnsi="宋体" w:eastAsia="仿宋_GB2312"/>
                <w:sz w:val="24"/>
              </w:rPr>
              <w:t>专任教师不低于60人，师生比在1∶20以内,专业教师数不低于专任教师数的50%。双师型教师比例达专业专任教师的50%，其中，具有与专业相关的技师等级职业资格证书（或中级以上非教师系列专业技术职务、执业资格）的教师不低于10%。</w:t>
            </w:r>
          </w:p>
        </w:tc>
        <w:tc>
          <w:tcPr>
            <w:tcW w:w="1320" w:type="dxa"/>
            <w:shd w:val="clear" w:color="auto" w:fill="auto"/>
            <w:noWrap w:val="0"/>
            <w:vAlign w:val="center"/>
          </w:tcPr>
          <w:p>
            <w:pPr>
              <w:rPr>
                <w:rFonts w:hint="eastAsia" w:ascii="仿宋_GB2312" w:hAnsi="宋体" w:eastAsia="仿宋_GB2312"/>
                <w:sz w:val="24"/>
              </w:rPr>
            </w:pPr>
          </w:p>
        </w:tc>
        <w:tc>
          <w:tcPr>
            <w:tcW w:w="1028" w:type="dxa"/>
            <w:shd w:val="clear" w:color="auto" w:fill="auto"/>
            <w:noWrap w:val="0"/>
            <w:vAlign w:val="center"/>
          </w:tcPr>
          <w:p>
            <w:pPr>
              <w:rPr>
                <w:rFonts w:hint="eastAsia"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395" w:hRule="atLeast"/>
          <w:jc w:val="center"/>
        </w:trPr>
        <w:tc>
          <w:tcPr>
            <w:tcW w:w="1781" w:type="dxa"/>
            <w:shd w:val="clear" w:color="auto" w:fill="auto"/>
            <w:noWrap w:val="0"/>
            <w:vAlign w:val="center"/>
          </w:tcPr>
          <w:p>
            <w:pPr>
              <w:jc w:val="center"/>
              <w:rPr>
                <w:rFonts w:hint="eastAsia" w:ascii="仿宋_GB2312" w:hAnsi="仿宋" w:eastAsia="仿宋_GB2312" w:cs="宋体"/>
                <w:sz w:val="24"/>
              </w:rPr>
            </w:pPr>
            <w:r>
              <w:rPr>
                <w:rFonts w:hint="eastAsia" w:ascii="仿宋_GB2312" w:hAnsi="仿宋" w:eastAsia="仿宋_GB2312"/>
                <w:sz w:val="24"/>
              </w:rPr>
              <w:t>3.学校占地</w:t>
            </w:r>
          </w:p>
        </w:tc>
        <w:tc>
          <w:tcPr>
            <w:tcW w:w="3295" w:type="dxa"/>
            <w:shd w:val="clear" w:color="auto" w:fill="auto"/>
            <w:noWrap w:val="0"/>
            <w:vAlign w:val="center"/>
          </w:tcPr>
          <w:p>
            <w:pPr>
              <w:rPr>
                <w:rFonts w:hint="eastAsia" w:ascii="仿宋_GB2312" w:hAnsi="仿宋" w:eastAsia="仿宋_GB2312" w:cs="宋体"/>
                <w:sz w:val="24"/>
              </w:rPr>
            </w:pPr>
            <w:r>
              <w:rPr>
                <w:rFonts w:hint="eastAsia" w:ascii="仿宋_GB2312" w:hAnsi="仿宋" w:eastAsia="仿宋_GB2312"/>
                <w:sz w:val="24"/>
              </w:rPr>
              <w:t>占地面积不少于13.3万平方米（约200亩）。</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占地面积不少于10万平方米（约150亩）。</w:t>
            </w:r>
          </w:p>
        </w:tc>
        <w:tc>
          <w:tcPr>
            <w:tcW w:w="3295" w:type="dxa"/>
            <w:shd w:val="clear" w:color="auto" w:fill="auto"/>
            <w:noWrap w:val="0"/>
            <w:vAlign w:val="center"/>
          </w:tcPr>
          <w:p>
            <w:pPr>
              <w:rPr>
                <w:rFonts w:hint="eastAsia" w:ascii="仿宋_GB2312" w:hAnsi="仿宋" w:eastAsia="仿宋_GB2312" w:cs="宋体"/>
                <w:sz w:val="24"/>
              </w:rPr>
            </w:pPr>
            <w:r>
              <w:rPr>
                <w:rFonts w:hint="eastAsia" w:ascii="仿宋_GB2312" w:hAnsi="仿宋" w:eastAsia="仿宋_GB2312"/>
                <w:sz w:val="24"/>
              </w:rPr>
              <w:t>占地面积不少于4万平方米（约60亩），生均不低于33平方米。</w:t>
            </w:r>
          </w:p>
        </w:tc>
        <w:tc>
          <w:tcPr>
            <w:tcW w:w="1320" w:type="dxa"/>
            <w:shd w:val="clear" w:color="auto" w:fill="auto"/>
            <w:noWrap w:val="0"/>
            <w:vAlign w:val="center"/>
          </w:tcPr>
          <w:p>
            <w:pPr>
              <w:rPr>
                <w:rFonts w:hint="eastAsia" w:ascii="仿宋_GB2312" w:hAnsi="仿宋" w:eastAsia="仿宋_GB2312"/>
                <w:sz w:val="24"/>
              </w:rPr>
            </w:pPr>
          </w:p>
        </w:tc>
        <w:tc>
          <w:tcPr>
            <w:tcW w:w="1028" w:type="dxa"/>
            <w:shd w:val="clear" w:color="auto" w:fill="auto"/>
            <w:noWrap w:val="0"/>
            <w:vAlign w:val="center"/>
          </w:tcPr>
          <w:p>
            <w:pPr>
              <w:rPr>
                <w:rFonts w:hint="eastAsia" w:ascii="仿宋_GB2312" w:hAnsi="仿宋"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046" w:hRule="atLeast"/>
          <w:jc w:val="center"/>
        </w:trPr>
        <w:tc>
          <w:tcPr>
            <w:tcW w:w="1781" w:type="dxa"/>
            <w:shd w:val="clear" w:color="auto" w:fill="auto"/>
            <w:noWrap w:val="0"/>
            <w:vAlign w:val="center"/>
          </w:tcPr>
          <w:p>
            <w:pPr>
              <w:jc w:val="center"/>
              <w:rPr>
                <w:rFonts w:hint="eastAsia" w:ascii="仿宋_GB2312" w:hAnsi="仿宋" w:eastAsia="仿宋_GB2312"/>
                <w:sz w:val="24"/>
              </w:rPr>
            </w:pPr>
            <w:r>
              <w:rPr>
                <w:rFonts w:hint="eastAsia" w:ascii="仿宋_GB2312" w:hAnsi="仿宋" w:eastAsia="仿宋_GB2312"/>
                <w:sz w:val="24"/>
              </w:rPr>
              <w:t>4.校舍面积</w:t>
            </w:r>
          </w:p>
          <w:p>
            <w:pPr>
              <w:jc w:val="center"/>
              <w:rPr>
                <w:rFonts w:hint="eastAsia" w:ascii="仿宋_GB2312" w:hAnsi="仿宋" w:eastAsia="仿宋_GB2312"/>
                <w:sz w:val="24"/>
              </w:rPr>
            </w:pPr>
            <w:r>
              <w:rPr>
                <w:rFonts w:hint="eastAsia" w:ascii="仿宋_GB2312" w:hAnsi="仿宋" w:eastAsia="仿宋_GB2312"/>
                <w:sz w:val="24"/>
              </w:rPr>
              <w:t>（核心指标）</w:t>
            </w:r>
          </w:p>
        </w:tc>
        <w:tc>
          <w:tcPr>
            <w:tcW w:w="3295" w:type="dxa"/>
            <w:shd w:val="clear" w:color="auto" w:fill="auto"/>
            <w:noWrap w:val="0"/>
            <w:vAlign w:val="center"/>
          </w:tcPr>
          <w:p>
            <w:pPr>
              <w:rPr>
                <w:rFonts w:hint="eastAsia" w:ascii="仿宋_GB2312" w:hAnsi="仿宋" w:eastAsia="仿宋_GB2312" w:cs="宋体"/>
                <w:sz w:val="24"/>
              </w:rPr>
            </w:pPr>
            <w:r>
              <w:rPr>
                <w:rFonts w:hint="eastAsia" w:ascii="仿宋_GB2312" w:hAnsi="仿宋" w:eastAsia="仿宋_GB2312"/>
                <w:sz w:val="24"/>
              </w:rPr>
              <w:t>校舍建筑面积不少于8万平方米，生均不低于20平方米。</w:t>
            </w:r>
          </w:p>
        </w:tc>
        <w:tc>
          <w:tcPr>
            <w:tcW w:w="3295" w:type="dxa"/>
            <w:shd w:val="clear" w:color="auto" w:fill="auto"/>
            <w:noWrap w:val="0"/>
            <w:vAlign w:val="center"/>
          </w:tcPr>
          <w:p>
            <w:pPr>
              <w:rPr>
                <w:rFonts w:hint="eastAsia" w:ascii="仿宋_GB2312" w:hAnsi="仿宋" w:eastAsia="仿宋_GB2312" w:cs="宋体"/>
                <w:sz w:val="24"/>
              </w:rPr>
            </w:pPr>
            <w:r>
              <w:rPr>
                <w:rFonts w:hint="eastAsia" w:ascii="仿宋_GB2312" w:hAnsi="仿宋" w:eastAsia="仿宋_GB2312"/>
                <w:sz w:val="24"/>
              </w:rPr>
              <w:t>校舍建筑面积不少于6万平方米，生均不低于20平方米。</w:t>
            </w:r>
          </w:p>
        </w:tc>
        <w:tc>
          <w:tcPr>
            <w:tcW w:w="3295" w:type="dxa"/>
            <w:shd w:val="clear" w:color="auto" w:fill="auto"/>
            <w:noWrap w:val="0"/>
            <w:vAlign w:val="center"/>
          </w:tcPr>
          <w:p>
            <w:pPr>
              <w:rPr>
                <w:rFonts w:hint="eastAsia" w:ascii="仿宋_GB2312" w:hAnsi="仿宋" w:eastAsia="仿宋_GB2312" w:cs="宋体"/>
                <w:sz w:val="24"/>
              </w:rPr>
            </w:pPr>
            <w:r>
              <w:rPr>
                <w:rFonts w:hint="eastAsia" w:ascii="仿宋_GB2312" w:hAnsi="仿宋" w:eastAsia="仿宋_GB2312"/>
                <w:sz w:val="24"/>
              </w:rPr>
              <w:t>校舍建筑面积不少于2.4万平方米，生均不低于20平方米。</w:t>
            </w:r>
          </w:p>
        </w:tc>
        <w:tc>
          <w:tcPr>
            <w:tcW w:w="1320" w:type="dxa"/>
            <w:shd w:val="clear" w:color="auto" w:fill="auto"/>
            <w:noWrap w:val="0"/>
            <w:vAlign w:val="center"/>
          </w:tcPr>
          <w:p>
            <w:pPr>
              <w:rPr>
                <w:rFonts w:hint="eastAsia" w:ascii="仿宋_GB2312" w:hAnsi="仿宋" w:eastAsia="仿宋_GB2312"/>
                <w:sz w:val="24"/>
              </w:rPr>
            </w:pPr>
          </w:p>
        </w:tc>
        <w:tc>
          <w:tcPr>
            <w:tcW w:w="1028" w:type="dxa"/>
            <w:shd w:val="clear" w:color="auto" w:fill="auto"/>
            <w:noWrap w:val="0"/>
            <w:vAlign w:val="center"/>
          </w:tcPr>
          <w:p>
            <w:pPr>
              <w:rPr>
                <w:rFonts w:hint="eastAsia" w:ascii="仿宋_GB2312" w:hAnsi="仿宋"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046" w:hRule="atLeast"/>
          <w:jc w:val="center"/>
        </w:trPr>
        <w:tc>
          <w:tcPr>
            <w:tcW w:w="1781" w:type="dxa"/>
            <w:shd w:val="clear" w:color="auto" w:fill="auto"/>
            <w:noWrap w:val="0"/>
            <w:vAlign w:val="center"/>
          </w:tcPr>
          <w:p>
            <w:pPr>
              <w:jc w:val="center"/>
              <w:rPr>
                <w:rFonts w:hint="eastAsia" w:ascii="仿宋_GB2312" w:hAnsi="仿宋" w:eastAsia="仿宋_GB2312" w:cs="宋体"/>
                <w:sz w:val="24"/>
              </w:rPr>
            </w:pPr>
            <w:r>
              <w:rPr>
                <w:rFonts w:hint="eastAsia" w:ascii="仿宋_GB2312" w:hAnsi="仿宋" w:eastAsia="仿宋_GB2312" w:cs="宋体"/>
                <w:sz w:val="24"/>
              </w:rPr>
              <w:t>5.实训条件</w:t>
            </w:r>
          </w:p>
          <w:p>
            <w:pPr>
              <w:jc w:val="center"/>
              <w:rPr>
                <w:rFonts w:hint="eastAsia" w:ascii="仿宋_GB2312" w:hAnsi="仿宋" w:eastAsia="仿宋_GB2312" w:cs="宋体"/>
                <w:sz w:val="24"/>
              </w:rPr>
            </w:pPr>
            <w:r>
              <w:rPr>
                <w:rFonts w:hint="eastAsia" w:ascii="仿宋_GB2312" w:hAnsi="仿宋" w:eastAsia="仿宋_GB2312"/>
                <w:sz w:val="24"/>
              </w:rPr>
              <w:t>（核心指标）</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实训设备总值不低于3000万元；生均实训设备值，工科类专业和医药类专业不低于7000元，其他专业不低于5000元。</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实训设备总值不低于1500万元；生均实训设备值，工科类专业和医药类专业不低于5000元，其他专业不低于4000元。</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实训设备总值不低于360万元；生均实训设备值，工科类专业和医药类专业不低于3000元，其他专业不低于2500元。</w:t>
            </w:r>
          </w:p>
        </w:tc>
        <w:tc>
          <w:tcPr>
            <w:tcW w:w="1320" w:type="dxa"/>
            <w:shd w:val="clear" w:color="auto" w:fill="auto"/>
            <w:noWrap w:val="0"/>
            <w:vAlign w:val="center"/>
          </w:tcPr>
          <w:p>
            <w:pPr>
              <w:rPr>
                <w:rFonts w:hint="eastAsia" w:ascii="仿宋_GB2312" w:hAnsi="仿宋" w:eastAsia="仿宋_GB2312"/>
                <w:sz w:val="24"/>
              </w:rPr>
            </w:pPr>
          </w:p>
        </w:tc>
        <w:tc>
          <w:tcPr>
            <w:tcW w:w="1028" w:type="dxa"/>
            <w:shd w:val="clear" w:color="auto" w:fill="auto"/>
            <w:noWrap w:val="0"/>
            <w:vAlign w:val="center"/>
          </w:tcPr>
          <w:p>
            <w:pPr>
              <w:rPr>
                <w:rFonts w:hint="eastAsia" w:ascii="仿宋_GB2312" w:hAnsi="仿宋"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046" w:hRule="atLeast"/>
          <w:jc w:val="center"/>
        </w:trPr>
        <w:tc>
          <w:tcPr>
            <w:tcW w:w="1781" w:type="dxa"/>
            <w:shd w:val="clear" w:color="auto" w:fill="auto"/>
            <w:noWrap w:val="0"/>
            <w:vAlign w:val="center"/>
          </w:tcPr>
          <w:p>
            <w:pPr>
              <w:jc w:val="center"/>
              <w:rPr>
                <w:rFonts w:hint="eastAsia" w:ascii="仿宋_GB2312" w:hAnsi="仿宋" w:eastAsia="仿宋_GB2312" w:cs="宋体"/>
                <w:sz w:val="24"/>
              </w:rPr>
            </w:pPr>
            <w:r>
              <w:rPr>
                <w:rFonts w:hint="eastAsia" w:ascii="仿宋_GB2312" w:hAnsi="仿宋" w:eastAsia="仿宋_GB2312" w:cs="宋体"/>
                <w:sz w:val="24"/>
              </w:rPr>
              <w:t>6.信息化建设</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学生用计算机达1台/3人，教师用计算机达1台/1人；有功能齐全的校园网，基本实现数字化管理；有数字化教学平台；所有教学场所均配备多媒体设备；建成一定数量的教学资源库，信息化教学达到一定水平。</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学生用计算机达1台/5人，教师用计算机达1台/1人；有功能齐全的校园网，基本实现数字化管理；有数字化教学资源库、教学平台；所有教学场所均配备多媒体设备。</w:t>
            </w:r>
          </w:p>
        </w:tc>
        <w:tc>
          <w:tcPr>
            <w:tcW w:w="3295" w:type="dxa"/>
            <w:shd w:val="clear" w:color="auto" w:fill="auto"/>
            <w:noWrap w:val="0"/>
            <w:vAlign w:val="center"/>
          </w:tcPr>
          <w:p>
            <w:pPr>
              <w:rPr>
                <w:rFonts w:hint="eastAsia" w:ascii="仿宋_GB2312" w:hAnsi="仿宋" w:eastAsia="仿宋_GB2312"/>
                <w:sz w:val="24"/>
              </w:rPr>
            </w:pPr>
            <w:r>
              <w:rPr>
                <w:rFonts w:hint="eastAsia" w:ascii="仿宋_GB2312" w:hAnsi="仿宋" w:eastAsia="仿宋_GB2312"/>
                <w:sz w:val="24"/>
              </w:rPr>
              <w:t>学生用计算机达1台/7人，教师用计算机达1台/1人；有校园网；所有教学场所均配备多媒体设备。</w:t>
            </w:r>
          </w:p>
        </w:tc>
        <w:tc>
          <w:tcPr>
            <w:tcW w:w="1320" w:type="dxa"/>
            <w:shd w:val="clear" w:color="auto" w:fill="auto"/>
            <w:noWrap w:val="0"/>
            <w:vAlign w:val="center"/>
          </w:tcPr>
          <w:p>
            <w:pPr>
              <w:rPr>
                <w:rFonts w:hint="eastAsia" w:ascii="仿宋_GB2312" w:hAnsi="仿宋" w:eastAsia="仿宋_GB2312"/>
                <w:sz w:val="24"/>
              </w:rPr>
            </w:pPr>
          </w:p>
        </w:tc>
        <w:tc>
          <w:tcPr>
            <w:tcW w:w="1028" w:type="dxa"/>
            <w:shd w:val="clear" w:color="auto" w:fill="auto"/>
            <w:noWrap w:val="0"/>
            <w:vAlign w:val="center"/>
          </w:tcPr>
          <w:p>
            <w:pPr>
              <w:rPr>
                <w:rFonts w:hint="eastAsia" w:ascii="仿宋_GB2312" w:hAnsi="仿宋"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046" w:hRule="atLeast"/>
          <w:jc w:val="center"/>
        </w:trPr>
        <w:tc>
          <w:tcPr>
            <w:tcW w:w="1781" w:type="dxa"/>
            <w:shd w:val="clear" w:color="auto" w:fill="auto"/>
            <w:noWrap w:val="0"/>
            <w:vAlign w:val="center"/>
          </w:tcPr>
          <w:p>
            <w:pPr>
              <w:jc w:val="center"/>
              <w:rPr>
                <w:rFonts w:hint="eastAsia" w:ascii="仿宋_GB2312" w:hAnsi="宋体" w:eastAsia="仿宋_GB2312" w:cs="宋体"/>
                <w:color w:val="FF0000"/>
                <w:sz w:val="24"/>
              </w:rPr>
            </w:pPr>
            <w:r>
              <w:rPr>
                <w:rFonts w:hint="eastAsia" w:ascii="仿宋_GB2312" w:hAnsi="宋体" w:eastAsia="仿宋_GB2312"/>
                <w:sz w:val="24"/>
              </w:rPr>
              <w:t>7.图书配备</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适用印刷图书达12万册，生均30册以上；其中专业用书不少于1/3；电子教学参考书和期刊以及其他教学资料150种以上。</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适用印刷图书达9万册，生均30册以上；其中专业用书不少于1/3；电子教学参考书和期刊以及其他教学资料100种以上。</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适用印刷图书达3.6万册，生均30册以上；报刊种类80种以上；教师阅览（资料）室和学生阅览室的座位数应分别按不低于专任教师总书的20%和学生总书的10%设置。</w:t>
            </w:r>
          </w:p>
        </w:tc>
        <w:tc>
          <w:tcPr>
            <w:tcW w:w="1320" w:type="dxa"/>
            <w:shd w:val="clear" w:color="auto" w:fill="auto"/>
            <w:noWrap w:val="0"/>
            <w:vAlign w:val="center"/>
          </w:tcPr>
          <w:p>
            <w:pPr>
              <w:rPr>
                <w:rFonts w:hint="eastAsia" w:ascii="仿宋_GB2312" w:hAnsi="宋体" w:eastAsia="仿宋_GB2312"/>
                <w:sz w:val="24"/>
              </w:rPr>
            </w:pPr>
          </w:p>
        </w:tc>
        <w:tc>
          <w:tcPr>
            <w:tcW w:w="1028" w:type="dxa"/>
            <w:shd w:val="clear" w:color="auto" w:fill="auto"/>
            <w:noWrap w:val="0"/>
            <w:vAlign w:val="center"/>
          </w:tcPr>
          <w:p>
            <w:pPr>
              <w:rPr>
                <w:rFonts w:hint="eastAsia"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56" w:hRule="atLeast"/>
          <w:jc w:val="center"/>
        </w:trPr>
        <w:tc>
          <w:tcPr>
            <w:tcW w:w="1781" w:type="dxa"/>
            <w:shd w:val="clear" w:color="auto" w:fill="auto"/>
            <w:noWrap w:val="0"/>
            <w:vAlign w:val="center"/>
          </w:tcPr>
          <w:p>
            <w:pPr>
              <w:jc w:val="center"/>
              <w:rPr>
                <w:rFonts w:hint="eastAsia" w:ascii="仿宋_GB2312" w:hAnsi="宋体" w:eastAsia="仿宋_GB2312"/>
                <w:sz w:val="24"/>
              </w:rPr>
            </w:pPr>
            <w:r>
              <w:rPr>
                <w:rFonts w:hint="eastAsia" w:ascii="仿宋_GB2312" w:hAnsi="宋体" w:eastAsia="仿宋_GB2312"/>
                <w:sz w:val="24"/>
              </w:rPr>
              <w:t>8.体育卫生等设施</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有400米环形跑道的、设有看台的标准塑胶运动场；体育、卫生、生活等设施符合《学校体育工作条例》、《学校卫生工作条例》等要求，校园安全有保障。</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有400米环形跑道的田径场，塑胶篮球场、排球场；体育、卫生、生活等设施符合《学校体育工作条例》、《学校卫生工作条例》等要求，校园安全有保障。</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有200米以上环形跑道的田径场，体育、卫生、生活等设施符合《学校体育工作条例》、《学校卫生工作条例》等要求，校园安全有保障。</w:t>
            </w:r>
          </w:p>
        </w:tc>
        <w:tc>
          <w:tcPr>
            <w:tcW w:w="1320" w:type="dxa"/>
            <w:shd w:val="clear" w:color="auto" w:fill="auto"/>
            <w:noWrap w:val="0"/>
            <w:vAlign w:val="center"/>
          </w:tcPr>
          <w:p>
            <w:pPr>
              <w:rPr>
                <w:rFonts w:hint="eastAsia" w:ascii="仿宋_GB2312" w:hAnsi="宋体" w:eastAsia="仿宋_GB2312"/>
                <w:sz w:val="24"/>
              </w:rPr>
            </w:pPr>
          </w:p>
        </w:tc>
        <w:tc>
          <w:tcPr>
            <w:tcW w:w="1028" w:type="dxa"/>
            <w:shd w:val="clear" w:color="auto" w:fill="auto"/>
            <w:noWrap w:val="0"/>
            <w:vAlign w:val="center"/>
          </w:tcPr>
          <w:p>
            <w:pPr>
              <w:rPr>
                <w:rFonts w:hint="eastAsia"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39" w:hRule="atLeast"/>
          <w:jc w:val="center"/>
        </w:trPr>
        <w:tc>
          <w:tcPr>
            <w:tcW w:w="1781" w:type="dxa"/>
            <w:shd w:val="clear" w:color="auto" w:fill="auto"/>
            <w:noWrap w:val="0"/>
            <w:vAlign w:val="center"/>
          </w:tcPr>
          <w:p>
            <w:pPr>
              <w:jc w:val="center"/>
              <w:rPr>
                <w:rFonts w:hint="eastAsia" w:ascii="仿宋_GB2312" w:hAnsi="宋体" w:eastAsia="仿宋_GB2312"/>
                <w:sz w:val="24"/>
              </w:rPr>
            </w:pPr>
            <w:r>
              <w:rPr>
                <w:rFonts w:hint="eastAsia" w:ascii="仿宋_GB2312" w:hAnsi="宋体" w:eastAsia="仿宋_GB2312"/>
                <w:sz w:val="24"/>
              </w:rPr>
              <w:t>9.经费保障</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在确保教师工资按时足额发放、学校正常运转的前提下，必须达到省定最低生均经费拨款标准和公用经费拨款标准的1.2倍。</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在确保教师工资按时足额发放、学校正常运转的前提下，必须达到省定最低生均经费拨款标准和公用经费拨款标准的1.1倍。</w:t>
            </w:r>
          </w:p>
        </w:tc>
        <w:tc>
          <w:tcPr>
            <w:tcW w:w="3295" w:type="dxa"/>
            <w:shd w:val="clear" w:color="auto" w:fill="auto"/>
            <w:noWrap w:val="0"/>
            <w:vAlign w:val="center"/>
          </w:tcPr>
          <w:p>
            <w:pPr>
              <w:rPr>
                <w:rFonts w:hint="eastAsia" w:ascii="仿宋_GB2312" w:hAnsi="宋体" w:eastAsia="仿宋_GB2312"/>
                <w:sz w:val="24"/>
              </w:rPr>
            </w:pPr>
            <w:r>
              <w:rPr>
                <w:rFonts w:hint="eastAsia" w:ascii="仿宋_GB2312" w:hAnsi="宋体" w:eastAsia="仿宋_GB2312"/>
                <w:sz w:val="24"/>
              </w:rPr>
              <w:t>在确保教师工资按时足额发放、学校正常运转的前提下，必须达到省定最低生均经费拨款标准和公用经费拨款标准。</w:t>
            </w:r>
          </w:p>
        </w:tc>
        <w:tc>
          <w:tcPr>
            <w:tcW w:w="1320" w:type="dxa"/>
            <w:shd w:val="clear" w:color="auto" w:fill="auto"/>
            <w:noWrap w:val="0"/>
            <w:vAlign w:val="center"/>
          </w:tcPr>
          <w:p>
            <w:pPr>
              <w:rPr>
                <w:rFonts w:hint="eastAsia" w:ascii="仿宋_GB2312" w:hAnsi="宋体" w:eastAsia="仿宋_GB2312"/>
                <w:sz w:val="24"/>
              </w:rPr>
            </w:pPr>
          </w:p>
        </w:tc>
        <w:tc>
          <w:tcPr>
            <w:tcW w:w="1028" w:type="dxa"/>
            <w:shd w:val="clear" w:color="auto" w:fill="auto"/>
            <w:noWrap w:val="0"/>
            <w:vAlign w:val="center"/>
          </w:tcPr>
          <w:p>
            <w:pPr>
              <w:rPr>
                <w:rFonts w:hint="eastAsia" w:ascii="仿宋_GB2312" w:hAnsi="宋体" w:eastAsia="仿宋_GB2312"/>
                <w:sz w:val="24"/>
              </w:rPr>
            </w:pPr>
          </w:p>
        </w:tc>
      </w:tr>
    </w:tbl>
    <w:p>
      <w:pPr>
        <w:spacing w:line="400" w:lineRule="exact"/>
        <w:rPr>
          <w:rFonts w:hint="eastAsia" w:ascii="仿宋_GB2312" w:eastAsia="仿宋_GB2312"/>
          <w:sz w:val="24"/>
        </w:rPr>
      </w:pPr>
      <w:r>
        <w:rPr>
          <w:rFonts w:hint="eastAsia" w:ascii="仿宋_GB2312" w:eastAsia="仿宋_GB2312"/>
          <w:sz w:val="24"/>
        </w:rPr>
        <w:t>1.核心指标为各等级必须达到的指标，缺一不可。5个非核心指标，在等级评定时须满足4个以上。</w:t>
      </w:r>
    </w:p>
    <w:p>
      <w:pPr>
        <w:spacing w:line="400" w:lineRule="exact"/>
        <w:rPr>
          <w:rFonts w:hint="eastAsia" w:ascii="仿宋_GB2312" w:eastAsia="仿宋_GB2312"/>
          <w:sz w:val="24"/>
        </w:rPr>
      </w:pPr>
      <w:r>
        <w:rPr>
          <w:rFonts w:hint="eastAsia" w:ascii="仿宋_GB2312" w:eastAsia="仿宋_GB2312"/>
          <w:sz w:val="24"/>
        </w:rPr>
        <w:t>2.经费保障指标不评价民办学校。</w:t>
      </w:r>
    </w:p>
    <w:p>
      <w:pPr>
        <w:spacing w:line="400" w:lineRule="exact"/>
        <w:ind w:left="240" w:hanging="240" w:hangingChars="100"/>
        <w:rPr>
          <w:rFonts w:hint="eastAsia" w:ascii="仿宋_GB2312" w:hAnsi="宋体" w:eastAsia="仿宋_GB2312" w:cs="宋体"/>
          <w:sz w:val="24"/>
        </w:rPr>
      </w:pPr>
      <w:r>
        <w:rPr>
          <w:rFonts w:hint="eastAsia" w:ascii="仿宋_GB2312" w:eastAsia="仿宋_GB2312"/>
          <w:sz w:val="24"/>
        </w:rPr>
        <w:t>3.对于体育运动学校、女子学校、武术学校、艺术学校等特色学校单独认定档次。5年内，在省内重大学校建设项目中，处于全省领先地位的学校（如：省级高水平中职学校建设项目立项单位）可直接认定为A档。</w:t>
      </w:r>
    </w:p>
    <w:p>
      <w:pPr>
        <w:spacing w:line="600" w:lineRule="exact"/>
        <w:jc w:val="both"/>
        <w:rPr>
          <w:rFonts w:hint="eastAsia"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江西省中等职业学校分级标准（试行）</w:t>
      </w:r>
    </w:p>
    <w:p>
      <w:pPr>
        <w:spacing w:line="600" w:lineRule="exact"/>
        <w:jc w:val="center"/>
        <w:rPr>
          <w:rFonts w:ascii="楷体_GB2312" w:eastAsia="楷体_GB2312"/>
          <w:sz w:val="32"/>
          <w:szCs w:val="32"/>
        </w:rPr>
      </w:pPr>
      <w:r>
        <w:rPr>
          <w:rFonts w:hint="eastAsia" w:ascii="楷体_GB2312" w:eastAsia="楷体_GB2312"/>
          <w:sz w:val="32"/>
          <w:szCs w:val="32"/>
        </w:rPr>
        <w:t>（评分指标部分）</w:t>
      </w:r>
    </w:p>
    <w:tbl>
      <w:tblPr>
        <w:tblStyle w:val="4"/>
        <w:tblW w:w="15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32"/>
        <w:gridCol w:w="487"/>
        <w:gridCol w:w="4532"/>
        <w:gridCol w:w="825"/>
        <w:gridCol w:w="4147"/>
        <w:gridCol w:w="3171"/>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06" w:type="dxa"/>
            <w:gridSpan w:val="8"/>
            <w:shd w:val="clear" w:color="auto" w:fill="auto"/>
            <w:noWrap/>
            <w:vAlign w:val="center"/>
          </w:tcPr>
          <w:p>
            <w:pPr>
              <w:spacing w:line="360" w:lineRule="exact"/>
              <w:jc w:val="left"/>
              <w:rPr>
                <w:rFonts w:hint="eastAsia" w:ascii="黑体" w:hAnsi="黑体" w:eastAsia="黑体"/>
                <w:sz w:val="24"/>
                <w:lang w:eastAsia="zh-CN"/>
              </w:rPr>
            </w:pPr>
            <w:r>
              <w:rPr>
                <w:rFonts w:hint="eastAsia" w:ascii="黑体" w:hAnsi="黑体" w:eastAsia="黑体"/>
                <w:sz w:val="24"/>
                <w:lang w:eastAsia="zh-CN"/>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1" w:type="dxa"/>
            <w:shd w:val="clear" w:color="auto" w:fill="auto"/>
            <w:noWrap/>
            <w:vAlign w:val="center"/>
          </w:tcPr>
          <w:p>
            <w:pPr>
              <w:spacing w:line="360" w:lineRule="exact"/>
              <w:jc w:val="center"/>
              <w:rPr>
                <w:rFonts w:hint="eastAsia" w:ascii="黑体" w:hAnsi="黑体" w:eastAsia="黑体"/>
                <w:sz w:val="24"/>
              </w:rPr>
            </w:pPr>
            <w:r>
              <w:rPr>
                <w:rFonts w:hint="eastAsia" w:ascii="黑体" w:hAnsi="黑体" w:eastAsia="黑体"/>
                <w:sz w:val="24"/>
              </w:rPr>
              <w:t>指标</w:t>
            </w:r>
          </w:p>
        </w:tc>
        <w:tc>
          <w:tcPr>
            <w:tcW w:w="732" w:type="dxa"/>
            <w:shd w:val="clear" w:color="auto" w:fill="auto"/>
            <w:noWrap w:val="0"/>
            <w:vAlign w:val="center"/>
          </w:tcPr>
          <w:p>
            <w:pPr>
              <w:spacing w:line="360" w:lineRule="exact"/>
              <w:jc w:val="center"/>
              <w:rPr>
                <w:rFonts w:hint="eastAsia" w:ascii="黑体" w:hAnsi="黑体" w:eastAsia="黑体"/>
                <w:sz w:val="24"/>
              </w:rPr>
            </w:pPr>
            <w:r>
              <w:rPr>
                <w:rFonts w:hint="eastAsia" w:ascii="黑体" w:hAnsi="黑体" w:eastAsia="黑体"/>
                <w:sz w:val="24"/>
              </w:rPr>
              <w:t>指标分值</w:t>
            </w:r>
          </w:p>
        </w:tc>
        <w:tc>
          <w:tcPr>
            <w:tcW w:w="487" w:type="dxa"/>
            <w:shd w:val="clear" w:color="auto" w:fill="auto"/>
            <w:noWrap/>
            <w:vAlign w:val="center"/>
          </w:tcPr>
          <w:p>
            <w:pPr>
              <w:spacing w:line="360" w:lineRule="exact"/>
              <w:jc w:val="center"/>
              <w:rPr>
                <w:rFonts w:hint="eastAsia" w:ascii="黑体" w:hAnsi="黑体" w:eastAsia="黑体"/>
                <w:sz w:val="24"/>
              </w:rPr>
            </w:pPr>
            <w:r>
              <w:rPr>
                <w:rFonts w:hint="eastAsia" w:ascii="黑体" w:hAnsi="黑体" w:eastAsia="黑体"/>
                <w:sz w:val="24"/>
              </w:rPr>
              <w:t>序号</w:t>
            </w:r>
          </w:p>
        </w:tc>
        <w:tc>
          <w:tcPr>
            <w:tcW w:w="4532" w:type="dxa"/>
            <w:shd w:val="clear" w:color="auto" w:fill="auto"/>
            <w:noWrap w:val="0"/>
            <w:vAlign w:val="center"/>
          </w:tcPr>
          <w:p>
            <w:pPr>
              <w:spacing w:line="360" w:lineRule="exact"/>
              <w:jc w:val="center"/>
              <w:rPr>
                <w:rFonts w:hint="eastAsia" w:ascii="黑体" w:hAnsi="黑体" w:eastAsia="黑体"/>
                <w:sz w:val="24"/>
              </w:rPr>
            </w:pPr>
            <w:r>
              <w:rPr>
                <w:rFonts w:hint="eastAsia" w:ascii="黑体" w:hAnsi="黑体" w:eastAsia="黑体"/>
                <w:sz w:val="24"/>
              </w:rPr>
              <w:t>标准</w:t>
            </w:r>
          </w:p>
        </w:tc>
        <w:tc>
          <w:tcPr>
            <w:tcW w:w="825" w:type="dxa"/>
            <w:shd w:val="clear" w:color="auto" w:fill="auto"/>
            <w:noWrap w:val="0"/>
            <w:vAlign w:val="center"/>
          </w:tcPr>
          <w:p>
            <w:pPr>
              <w:spacing w:line="360" w:lineRule="exact"/>
              <w:jc w:val="center"/>
              <w:rPr>
                <w:rFonts w:hint="eastAsia" w:ascii="黑体" w:hAnsi="黑体" w:eastAsia="黑体"/>
                <w:sz w:val="24"/>
              </w:rPr>
            </w:pPr>
            <w:r>
              <w:rPr>
                <w:rFonts w:hint="eastAsia" w:ascii="黑体" w:hAnsi="黑体" w:eastAsia="黑体"/>
                <w:sz w:val="24"/>
              </w:rPr>
              <w:t>标准分值</w:t>
            </w:r>
          </w:p>
        </w:tc>
        <w:tc>
          <w:tcPr>
            <w:tcW w:w="4147" w:type="dxa"/>
            <w:shd w:val="clear" w:color="auto" w:fill="auto"/>
            <w:noWrap w:val="0"/>
            <w:vAlign w:val="center"/>
          </w:tcPr>
          <w:p>
            <w:pPr>
              <w:spacing w:line="360" w:lineRule="exact"/>
              <w:jc w:val="center"/>
              <w:rPr>
                <w:rFonts w:hint="eastAsia" w:ascii="黑体" w:hAnsi="黑体" w:eastAsia="黑体"/>
                <w:sz w:val="24"/>
              </w:rPr>
            </w:pPr>
            <w:r>
              <w:rPr>
                <w:rFonts w:hint="eastAsia" w:ascii="黑体" w:hAnsi="黑体" w:eastAsia="黑体"/>
                <w:sz w:val="24"/>
              </w:rPr>
              <w:t>评分方法</w:t>
            </w:r>
          </w:p>
        </w:tc>
        <w:tc>
          <w:tcPr>
            <w:tcW w:w="3171" w:type="dxa"/>
            <w:shd w:val="clear" w:color="auto" w:fill="auto"/>
            <w:noWrap w:val="0"/>
            <w:vAlign w:val="center"/>
          </w:tcPr>
          <w:p>
            <w:pPr>
              <w:spacing w:line="360" w:lineRule="exact"/>
              <w:jc w:val="center"/>
              <w:rPr>
                <w:rFonts w:hint="eastAsia" w:ascii="黑体" w:hAnsi="黑体" w:eastAsia="黑体"/>
                <w:sz w:val="24"/>
                <w:lang w:eastAsia="zh-CN"/>
              </w:rPr>
            </w:pPr>
            <w:r>
              <w:rPr>
                <w:rFonts w:hint="eastAsia" w:ascii="黑体" w:hAnsi="黑体" w:eastAsia="黑体"/>
                <w:sz w:val="24"/>
                <w:lang w:eastAsia="zh-CN"/>
              </w:rPr>
              <w:t>学校落实情况</w:t>
            </w:r>
          </w:p>
        </w:tc>
        <w:tc>
          <w:tcPr>
            <w:tcW w:w="891" w:type="dxa"/>
            <w:shd w:val="clear" w:color="auto" w:fill="auto"/>
            <w:noWrap w:val="0"/>
            <w:vAlign w:val="center"/>
          </w:tcPr>
          <w:p>
            <w:pPr>
              <w:spacing w:line="360" w:lineRule="exact"/>
              <w:jc w:val="center"/>
              <w:rPr>
                <w:rFonts w:hint="eastAsia" w:ascii="黑体" w:hAnsi="黑体" w:eastAsia="黑体"/>
                <w:sz w:val="24"/>
                <w:lang w:eastAsia="zh-CN"/>
              </w:rPr>
            </w:pPr>
            <w:r>
              <w:rPr>
                <w:rFonts w:hint="eastAsia" w:ascii="黑体" w:hAnsi="黑体" w:eastAsia="黑体"/>
                <w:sz w:val="24"/>
                <w:lang w:eastAsia="zh-CN"/>
              </w:rPr>
              <w:t>学校自评分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40" w:lineRule="exact"/>
              <w:jc w:val="left"/>
              <w:rPr>
                <w:rFonts w:hint="eastAsia" w:ascii="仿宋_GB2312" w:hAnsi="仿宋" w:eastAsia="仿宋_GB2312" w:cs="仿宋"/>
                <w:sz w:val="24"/>
              </w:rPr>
            </w:pPr>
            <w:r>
              <w:rPr>
                <w:rFonts w:hint="eastAsia" w:ascii="仿宋_GB2312" w:hAnsi="仿宋" w:eastAsia="仿宋_GB2312" w:cs="仿宋"/>
                <w:sz w:val="24"/>
              </w:rPr>
              <w:t>1.办学方针与战略管理</w:t>
            </w:r>
          </w:p>
        </w:tc>
        <w:tc>
          <w:tcPr>
            <w:tcW w:w="732" w:type="dxa"/>
            <w:vMerge w:val="restart"/>
            <w:shd w:val="clear" w:color="auto" w:fill="auto"/>
            <w:noWrap w:val="0"/>
            <w:vAlign w:val="center"/>
          </w:tcPr>
          <w:p>
            <w:pPr>
              <w:spacing w:line="340" w:lineRule="exact"/>
              <w:jc w:val="center"/>
              <w:rPr>
                <w:rFonts w:hint="eastAsia" w:ascii="仿宋_GB2312" w:hAnsi="仿宋" w:eastAsia="仿宋_GB2312" w:cs="仿宋"/>
                <w:sz w:val="24"/>
              </w:rPr>
            </w:pPr>
            <w:r>
              <w:rPr>
                <w:rFonts w:hint="eastAsia" w:ascii="仿宋_GB2312" w:hAnsi="仿宋" w:eastAsia="仿宋_GB2312" w:cs="仿宋"/>
                <w:sz w:val="24"/>
              </w:rPr>
              <w:t>20</w:t>
            </w:r>
          </w:p>
        </w:tc>
        <w:tc>
          <w:tcPr>
            <w:tcW w:w="487" w:type="dxa"/>
            <w:shd w:val="clear" w:color="auto" w:fill="auto"/>
            <w:noWrap w:val="0"/>
            <w:vAlign w:val="center"/>
          </w:tcPr>
          <w:p>
            <w:pPr>
              <w:spacing w:line="340" w:lineRule="exact"/>
              <w:jc w:val="center"/>
              <w:rPr>
                <w:rFonts w:hint="eastAsia" w:ascii="仿宋_GB2312" w:hAnsi="仿宋" w:eastAsia="仿宋_GB2312" w:cs="仿宋"/>
                <w:sz w:val="24"/>
              </w:rPr>
            </w:pPr>
            <w:r>
              <w:rPr>
                <w:rFonts w:hint="eastAsia" w:ascii="仿宋_GB2312" w:hAnsi="仿宋" w:eastAsia="仿宋_GB2312" w:cs="仿宋"/>
                <w:sz w:val="24"/>
              </w:rPr>
              <w:t>1</w:t>
            </w:r>
          </w:p>
        </w:tc>
        <w:tc>
          <w:tcPr>
            <w:tcW w:w="4532" w:type="dxa"/>
            <w:shd w:val="clear" w:color="auto" w:fill="auto"/>
            <w:noWrap w:val="0"/>
            <w:vAlign w:val="center"/>
          </w:tcPr>
          <w:p>
            <w:pPr>
              <w:spacing w:line="340" w:lineRule="exact"/>
              <w:rPr>
                <w:rFonts w:hint="eastAsia" w:ascii="仿宋_GB2312" w:hAnsi="仿宋" w:eastAsia="仿宋_GB2312" w:cs="仿宋"/>
                <w:sz w:val="24"/>
              </w:rPr>
            </w:pPr>
            <w:r>
              <w:rPr>
                <w:rFonts w:hint="eastAsia" w:ascii="仿宋_GB2312" w:hAnsi="仿宋" w:eastAsia="仿宋_GB2312" w:cs="仿宋"/>
                <w:sz w:val="24"/>
              </w:rPr>
              <w:t>全面贯彻国家教育方针，坚持立德树人，树立服务于学生发展、服务于经济社会发展的宗旨，办学定位准确。</w:t>
            </w:r>
          </w:p>
        </w:tc>
        <w:tc>
          <w:tcPr>
            <w:tcW w:w="825" w:type="dxa"/>
            <w:shd w:val="clear" w:color="auto" w:fill="auto"/>
            <w:noWrap w:val="0"/>
            <w:vAlign w:val="center"/>
          </w:tcPr>
          <w:p>
            <w:pPr>
              <w:spacing w:line="340" w:lineRule="exact"/>
              <w:jc w:val="center"/>
              <w:rPr>
                <w:rFonts w:hint="eastAsia" w:ascii="仿宋_GB2312" w:hAnsi="仿宋" w:eastAsia="仿宋_GB2312" w:cs="仿宋"/>
                <w:sz w:val="24"/>
              </w:rPr>
            </w:pPr>
            <w:r>
              <w:rPr>
                <w:rFonts w:hint="eastAsia" w:ascii="仿宋_GB2312" w:hAnsi="仿宋" w:eastAsia="仿宋_GB2312" w:cs="仿宋"/>
                <w:sz w:val="24"/>
              </w:rPr>
              <w:t>10</w:t>
            </w:r>
          </w:p>
        </w:tc>
        <w:tc>
          <w:tcPr>
            <w:tcW w:w="4147" w:type="dxa"/>
            <w:shd w:val="clear" w:color="auto" w:fill="auto"/>
            <w:noWrap w:val="0"/>
            <w:vAlign w:val="center"/>
          </w:tcPr>
          <w:p>
            <w:pPr>
              <w:spacing w:line="340" w:lineRule="exact"/>
              <w:rPr>
                <w:rFonts w:hint="eastAsia" w:ascii="仿宋_GB2312" w:hAnsi="仿宋" w:eastAsia="仿宋_GB2312" w:cs="仿宋"/>
                <w:sz w:val="24"/>
              </w:rPr>
            </w:pPr>
            <w:r>
              <w:rPr>
                <w:rFonts w:hint="eastAsia" w:ascii="仿宋_GB2312" w:hAnsi="仿宋" w:eastAsia="仿宋_GB2312" w:cs="仿宋"/>
                <w:sz w:val="24"/>
              </w:rPr>
              <w:t>按好、较好、一般、差四档计10、7、4、2分，宗旨不明确、定位不准确不计分。</w:t>
            </w:r>
          </w:p>
        </w:tc>
        <w:tc>
          <w:tcPr>
            <w:tcW w:w="3171" w:type="dxa"/>
            <w:shd w:val="clear" w:color="auto" w:fill="auto"/>
            <w:noWrap w:val="0"/>
            <w:vAlign w:val="center"/>
          </w:tcPr>
          <w:p>
            <w:pPr>
              <w:spacing w:line="340" w:lineRule="exact"/>
              <w:rPr>
                <w:rFonts w:hint="eastAsia" w:ascii="仿宋_GB2312" w:hAnsi="仿宋" w:eastAsia="仿宋_GB2312" w:cs="仿宋"/>
                <w:sz w:val="24"/>
              </w:rPr>
            </w:pPr>
          </w:p>
        </w:tc>
        <w:tc>
          <w:tcPr>
            <w:tcW w:w="891" w:type="dxa"/>
            <w:shd w:val="clear" w:color="auto" w:fill="auto"/>
            <w:noWrap w:val="0"/>
            <w:vAlign w:val="center"/>
          </w:tcPr>
          <w:p>
            <w:pPr>
              <w:spacing w:line="340" w:lineRule="exact"/>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4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发展目标明确，发展规划科学合理，发展策略、措施切实可行，被全体教职工认同。</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按好、较好、一般、差四档计10、7、4、2分，教职工不认同不计分。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2.领导与决策管理</w:t>
            </w:r>
          </w:p>
        </w:tc>
        <w:tc>
          <w:tcPr>
            <w:tcW w:w="732" w:type="dxa"/>
            <w:vMerge w:val="restart"/>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20</w:t>
            </w:r>
          </w:p>
        </w:tc>
        <w:tc>
          <w:tcPr>
            <w:tcW w:w="487"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校级领导理念先进，办学思路清晰，熟悉职业教育规律，团结协作，开拓创新，求真务实。</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按好、较好、一般、差四档计5、3、2、1分，不团结、员工不拥护不计分。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4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决策体系科学民主，建立了与产业、行业、企业联动的沟通机制。</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按好、较好、一般、差四档计5、3、2、1分，没有定期与产业、行业、企业联络沟通的不计分。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4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校长具有从事三年以上教育教学工作经历，校级领导具有本科以上学历，有高级专业技术职称者占2/3以上。</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6</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按3个观察点分别计分，汇总计分。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4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6</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校长熟悉教学工作，参与教育教学改革并有一定研究成果。</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不熟悉教学工作不计分。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4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7</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校长在国内有一定知名度，了解国际职业教育发展动态，具有一定的国际交流沟通能力。</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酌情评分，知名度不高不计分。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3.运行管理</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8</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严格执行法律、法规，教学管理、学生管理、教职员工管理、财务与资产管理、后勤管理等制度健全，管理措施到位，管理手段先进。</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24</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对6个考察点按好、较好、一般、差四档分别计4、3、2、1分，汇总计分。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9</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实行安全岗位责任制，近3年无重大责任事故。</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6</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有事故不计分。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4.学校文化</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学校形成积极向上的核心价值观，富有团队协作精神和优良的校风。</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按好、较好、一般、差四档计10、7、4、2分，校风差不计分。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11</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活动丰富多彩，融合优秀企业文化，体现职业教育特色和本校特色。</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5.德育</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25</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12</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德育为先，严格执行德育大纲，形成全员、全程育人体系，效果好。</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13</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发挥课堂教学和实训实习在中职学生思想道德教育中的主渠道作用，积极推进德育创新，开展丰富多彩的德育实践活动，重视心理健康教育，强化职业素养培养。</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14</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有专兼职心理咨询师和职业指导师。</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2个考察点分别计分，汇总计分。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r>
              <w:rPr>
                <w:rFonts w:hint="eastAsia" w:ascii="仿宋_GB2312" w:hAnsi="仿宋" w:eastAsia="仿宋_GB2312" w:cs="仿宋"/>
                <w:kern w:val="0"/>
                <w:sz w:val="24"/>
              </w:rPr>
              <w:t>6.专业建设</w:t>
            </w:r>
          </w:p>
          <w:p>
            <w:pPr>
              <w:spacing w:line="360" w:lineRule="exact"/>
              <w:jc w:val="both"/>
              <w:rPr>
                <w:rFonts w:hint="eastAsia" w:ascii="仿宋_GB2312" w:hAnsi="仿宋" w:eastAsia="仿宋_GB2312" w:cs="仿宋"/>
                <w:kern w:val="0"/>
                <w:sz w:val="24"/>
              </w:rPr>
            </w:pPr>
          </w:p>
        </w:tc>
        <w:tc>
          <w:tcPr>
            <w:tcW w:w="732" w:type="dxa"/>
            <w:vMerge w:val="restart"/>
            <w:shd w:val="clear" w:color="auto" w:fill="auto"/>
            <w:noWrap w:val="0"/>
            <w:vAlign w:val="center"/>
          </w:tcPr>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p>
          <w:p>
            <w:pPr>
              <w:spacing w:line="360" w:lineRule="exact"/>
              <w:jc w:val="both"/>
              <w:rPr>
                <w:rFonts w:hint="eastAsia" w:ascii="仿宋_GB2312" w:hAnsi="仿宋" w:eastAsia="仿宋_GB2312" w:cs="仿宋"/>
                <w:kern w:val="0"/>
                <w:sz w:val="24"/>
              </w:rPr>
            </w:pPr>
            <w:r>
              <w:rPr>
                <w:rFonts w:hint="eastAsia" w:ascii="仿宋_GB2312" w:hAnsi="仿宋" w:eastAsia="仿宋_GB2312" w:cs="仿宋"/>
                <w:kern w:val="0"/>
                <w:sz w:val="24"/>
              </w:rPr>
              <w:t>50</w:t>
            </w:r>
          </w:p>
          <w:p>
            <w:pPr>
              <w:spacing w:line="360" w:lineRule="exact"/>
              <w:jc w:val="both"/>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15</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建立了政府、行业、企业、研究机构和学校共同参与的“专业建设指导委员会”，定期召开专业建设研讨会，有效指导专业建设。</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按好、较好、一般、差四档计5、3、2、1分，不建不计分。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bottom"/>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bottom"/>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16</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专业设置对接产业、企业和工作岗位，建立动态调整机制，形成较强的产业服务能力。</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按好、较好、一般、差四档计5、3、2、1分，专业与产业、企业、岗位脱节不计分。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17</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专业结构合理,以骨干专业为支撑聚合形成专业群，专业及专业群数量适中形成一定培养规模和鲜明特色。</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按好、较好、一般、差四档计10、7、4、2分，没有进行专业整合，专业点多、分散、培养规模小的不计分。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18</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执行国家和省制定的专业教学指导方案、专业教学标准，制定本学校的专业教学方案。</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按好、较好、一般、差四档计10、7、4、2分，没有本学校专业教学方案不计分。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19</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参加国家行业教学指导委员会、省专业教学指导委员会。</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省级计6分，国家级计10分，不重复计分。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20</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参与国家和省有关专业教学标准的编制。</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省级计6分，国家级计10分，不重复计分；属牵头单位的特加3分。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7.课程建设与改革</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45</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21</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打破传统的学科本位课程体系，对接职业标准和行业规范，根据工作过程和典型工作任务开发教学项目，形成以能力为本位、实践为主线、项目为主体的新型课程体系。</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按好、较好、一般、差四档计10、7、4、2分，课程体系陈旧不计分。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22</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课程内容体现新知识、新技术、新工艺、新方法，与行业先进水平保持同步。</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按好、较好、一般、差四档计10、7、4、2分，课程内容陈旧不计分。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23</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根据行业和企业需求开发校本课程，针对性、实用性强，效益高。</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按好、较好、一般、差四档计5、3、2、1分，不开发不计分。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24</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参与区域内同行学校教学资源交流、共享,开发的课程或教材被推广使用。</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市级计3分，省级计7分，国家级计10分，不重复计分。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25</w:t>
            </w:r>
          </w:p>
        </w:tc>
        <w:tc>
          <w:tcPr>
            <w:tcW w:w="4532"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公共文化基础课统一使用国规和省荐教材，专业技能课使用国规和省荐教材达60%以上。</w:t>
            </w:r>
          </w:p>
        </w:tc>
        <w:tc>
          <w:tcPr>
            <w:tcW w:w="825" w:type="dxa"/>
            <w:shd w:val="clear" w:color="auto" w:fill="auto"/>
            <w:noWrap w:val="0"/>
            <w:vAlign w:val="center"/>
          </w:tcPr>
          <w:p>
            <w:pPr>
              <w:spacing w:line="32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2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符合要求计10分，否则不计分，用盗版教材计-10分。</w:t>
            </w:r>
          </w:p>
        </w:tc>
        <w:tc>
          <w:tcPr>
            <w:tcW w:w="3171" w:type="dxa"/>
            <w:shd w:val="clear" w:color="auto" w:fill="auto"/>
            <w:noWrap w:val="0"/>
            <w:vAlign w:val="center"/>
          </w:tcPr>
          <w:p>
            <w:pPr>
              <w:spacing w:line="32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2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8.教学实施</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26</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严格执行专业教学计划，开齐开足国家和省规定课程，认真落实教学大纲，教学过程管理严谨、规范。</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按好、较好、一般、差四档计10、7、4、2分，教学组织混乱、课时安排严重背离国家和省规定的不计分。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27</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构建学校、行业、企业和其他组织多方参与的评价模式和教学质量监控机制，效果好。</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按好、较好、一般、差四档计5、3、2、1分，没有评价和监控机制不计分。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28</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实践教学环节统筹安排，与理论教学有机结合，形成以行动为导向的教学模式，专业课程实践教学课时达50%以上。</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按好、较好、一般、差四档计10、7、4、2分，实践教学课时严重不足不计分。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29</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实训项目开出率保持在一定比例。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达到75%计1分，每增加5%计1分，满分5分。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30</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顶岗实习安排6个月左右，实行校企共同管理，明确企业指导技师和学校专业教师，对学生全程跟踪指导与管理。</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按好、较好、一般、差四档计5、3、2、1计分，将学生以顶岗实习名义作为廉价劳动力、顶岗实习时间超过一年或管理脱节不计分。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31</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建立完善学生实习风险管理机制，对学生实习投保责任险。</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按好、较好、一般、差四档计5、3、2、1分，不投保不计分。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9.教师素质</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32</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专任教师具有大学本科及以上学历或专科学历具备相关专业技术职称达一定比例。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达90%计5分，每增加1%计1分，满分10分。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33</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各专业至少配备具有相关专业中级以上专业技术职务的专任教师2人。</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8</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不符合要求不计分。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34</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各专业配备与专业相关的具有中高级以上专业技术职务专业教师3人以上的达一定比例。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按符合要求的专业占学校全部开设专业的比例计分，每10%计1分，满分10分。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35</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各专业配备与专业相关的具有技师以上资格的专业专任教师（或中级以上非教师系列专业技术职务、执业资格的教师）达一定比例。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按符合要求的专业占学校全部开设专业的比例计分，每10%计1分，满分10分。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36</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具有业界工作经历的专业专任教师达一定比例。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按符合要求的教师占学校全部专业专任教师的比例计分，每5%计0.5分，满分2分。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37</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聘用能工巧匠做兼职教师。</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按符合要求的教师占学校全部专业专任教师的比例计分，每4%计1分，满分5分。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38</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形成高水平的教学团队，专业带头人为名师。</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省级名师计3分，国家级名师计5分，不重复计分。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10.教师培养</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39</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重视教师培养培训，有切实可行的促进教师专业发展的计划和经费保障措施，并组织实施。</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按好、较好、一般、差四档计5、3、2、1分，没有计划、经费达不到职工工资的2.5%的不计分。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40</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定期组织或参加教师技能比赛。</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不组织不计分。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41</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组织教师广泛开展各种形式的教育教学研究活动。</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按好、较好、一般三档分别计3、2、1分，不组织不计分。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42</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建立校企员工交流机制，与合作企业开展校级领导与企业负责人、专业教师和企业技师互派兼职，专业教师每3年到企业实践达6个月以上。</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按好、较好、一般、差四档计10、7、4、2分，不交流不计分。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43</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教师参加专业培训每年达一定比例。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每10%计2分，满分10分。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11.实习基地</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44</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各专业有对口、稳定、符合实习需要的实习基地。</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按符合要求的专业占学校全部开设专业的比例计分，每10%计1分。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45</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实习基地为品牌企业。</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每有1个国内品牌企业实习基地计1分，国际品牌企业实习基地计2分，满分10分。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12.集团化办学</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46</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 xml:space="preserve">积极参加职教集团，共享资源，共同发展。                                        </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积极参加职教集团、共享资源，共同发展。积极发挥作用计10分，参与且积极参加活动承担义务计5分，不参加不计分。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47</w:t>
            </w:r>
          </w:p>
        </w:tc>
        <w:tc>
          <w:tcPr>
            <w:tcW w:w="4532"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组建职校专业联盟，发挥辐射作用，带动薄弱学校共同发展。</w:t>
            </w:r>
          </w:p>
        </w:tc>
        <w:tc>
          <w:tcPr>
            <w:tcW w:w="825" w:type="dxa"/>
            <w:shd w:val="clear" w:color="auto" w:fill="auto"/>
            <w:noWrap w:val="0"/>
            <w:vAlign w:val="center"/>
          </w:tcPr>
          <w:p>
            <w:pPr>
              <w:spacing w:line="34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4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省域专业联盟核心校计5分，市域核心校计3分，不重复计分；根据在联盟中发挥作用情况分三档计5、3、2分。</w:t>
            </w:r>
          </w:p>
        </w:tc>
        <w:tc>
          <w:tcPr>
            <w:tcW w:w="3171" w:type="dxa"/>
            <w:shd w:val="clear" w:color="auto" w:fill="auto"/>
            <w:noWrap w:val="0"/>
            <w:vAlign w:val="center"/>
          </w:tcPr>
          <w:p>
            <w:pPr>
              <w:spacing w:line="34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4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13.社会服务</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25</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48</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建立培训课程资源库，积极面向社会提供文化、技能、生活等培训，成为城乡社区教育中心。</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分考察点计分，课程资源分三档计5、3、2分；培训每500人次计1分，最多计10分。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49</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成为企业员工培训基地。</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每有1个企业员工培训基地计1分，满分5分。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50</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成为行业和品牌企业的培训基地或区域公共实训中心。</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不是不计分。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14.就业水平</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51</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近三年，毕业生平均初次就业率达一定比例。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达85%计1分，达95%计10分，插入法计分。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52</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近三年，毕业生就业专业对口率达一定比例。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达80%计1分，达85%计10分，插入法计分。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53</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近三年，毕业生省内就业率达一定比例。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达50%计1分，达70%计10分，插入法计分。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15.学生技能竞赛与鉴定</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40</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54</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积极组织校内技能竞赛，以赛促练。</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按好、较好、一般、差四档计5、3、2、1分，不组织不计分。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55</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承担市级以上技能大赛。</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市级计2分，省级以上计5分，不重复计分。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56</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参加技能大赛获奖。</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20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近三年获奖计：市赛二等奖2分，市赛一等奖5分；省赛二等奖7分，省赛一等奖10分；国赛二等奖12分，国赛一等奖20分；以最高奖计分，不累计。</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tcBorders>
              <w:bottom w:val="single" w:color="auto" w:sz="4" w:space="0"/>
            </w:tcBorders>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tcBorders>
              <w:bottom w:val="single" w:color="auto" w:sz="4" w:space="0"/>
            </w:tcBorders>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57</w:t>
            </w:r>
          </w:p>
        </w:tc>
        <w:tc>
          <w:tcPr>
            <w:tcW w:w="4532"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近三年毕业生取得相关专业中级以上职业资格证书或“1+X”中级以上证书或相关行业执业资格证书达一定比例。</w:t>
            </w:r>
          </w:p>
        </w:tc>
        <w:tc>
          <w:tcPr>
            <w:tcW w:w="825" w:type="dxa"/>
            <w:tcBorders>
              <w:bottom w:val="single" w:color="auto" w:sz="4" w:space="0"/>
            </w:tcBorders>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达到50%计5分，每增加5%计1分，满分10分；达不到50%不计分。</w:t>
            </w:r>
          </w:p>
        </w:tc>
        <w:tc>
          <w:tcPr>
            <w:tcW w:w="3171"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restart"/>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16.学校声誉与学生满意度</w:t>
            </w:r>
          </w:p>
        </w:tc>
        <w:tc>
          <w:tcPr>
            <w:tcW w:w="732" w:type="dxa"/>
            <w:vMerge w:val="restart"/>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35</w:t>
            </w: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58</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用人单位对学校毕业生满意率达到一定比例。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达80%计1分，达90%计10分，插入法计分。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59</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办学特色鲜明、学校管理、专业建设、教育教学改革、人才培养、校企合作等方面具有一定的创新性，相关项目获批国家级、省级、市级项目，在相关行业和当地有一定影响，具有良好声誉。</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国域计10分，省域计7分，市域计5分，不重复计分。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60</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近3年获得过市级以上综合表彰荣誉称号。</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国家级计5分，省级计3分，市级1分，不重复计分。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vMerge w:val="continue"/>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732" w:type="dxa"/>
            <w:vMerge w:val="continue"/>
            <w:shd w:val="clear" w:color="auto" w:fill="auto"/>
            <w:noWrap w:val="0"/>
            <w:vAlign w:val="center"/>
          </w:tcPr>
          <w:p>
            <w:pPr>
              <w:spacing w:line="360" w:lineRule="exact"/>
              <w:jc w:val="center"/>
              <w:rPr>
                <w:rFonts w:hint="eastAsia" w:ascii="仿宋_GB2312" w:hAnsi="仿宋" w:eastAsia="仿宋_GB2312" w:cs="仿宋"/>
                <w:kern w:val="0"/>
                <w:sz w:val="24"/>
              </w:rPr>
            </w:pPr>
          </w:p>
        </w:tc>
        <w:tc>
          <w:tcPr>
            <w:tcW w:w="487"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61</w:t>
            </w:r>
          </w:p>
        </w:tc>
        <w:tc>
          <w:tcPr>
            <w:tcW w:w="4532"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学生对学校满意率达到一定比例。</w:t>
            </w:r>
          </w:p>
        </w:tc>
        <w:tc>
          <w:tcPr>
            <w:tcW w:w="825" w:type="dxa"/>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4147" w:type="dxa"/>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达80%计1分，达90%计10分，插入法计分。</w:t>
            </w:r>
          </w:p>
        </w:tc>
        <w:tc>
          <w:tcPr>
            <w:tcW w:w="3171" w:type="dxa"/>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tcBorders>
              <w:bottom w:val="single" w:color="auto" w:sz="4" w:space="0"/>
            </w:tcBorders>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总分</w:t>
            </w:r>
          </w:p>
        </w:tc>
        <w:tc>
          <w:tcPr>
            <w:tcW w:w="732" w:type="dxa"/>
            <w:tcBorders>
              <w:bottom w:val="single" w:color="auto" w:sz="4" w:space="0"/>
            </w:tcBorders>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500</w:t>
            </w:r>
          </w:p>
        </w:tc>
        <w:tc>
          <w:tcPr>
            <w:tcW w:w="487"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　</w:t>
            </w:r>
          </w:p>
        </w:tc>
        <w:tc>
          <w:tcPr>
            <w:tcW w:w="4532"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　</w:t>
            </w:r>
          </w:p>
        </w:tc>
        <w:tc>
          <w:tcPr>
            <w:tcW w:w="825" w:type="dxa"/>
            <w:tcBorders>
              <w:bottom w:val="single" w:color="auto" w:sz="4" w:space="0"/>
            </w:tcBorders>
            <w:shd w:val="clear" w:color="auto" w:fill="auto"/>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500</w:t>
            </w:r>
          </w:p>
        </w:tc>
        <w:tc>
          <w:tcPr>
            <w:tcW w:w="4147"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r>
              <w:rPr>
                <w:rFonts w:hint="eastAsia" w:ascii="仿宋_GB2312" w:hAnsi="仿宋" w:eastAsia="仿宋_GB2312" w:cs="仿宋"/>
                <w:kern w:val="0"/>
                <w:sz w:val="24"/>
              </w:rPr>
              <w:t>　</w:t>
            </w:r>
          </w:p>
        </w:tc>
        <w:tc>
          <w:tcPr>
            <w:tcW w:w="3171"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p>
        </w:tc>
        <w:tc>
          <w:tcPr>
            <w:tcW w:w="891" w:type="dxa"/>
            <w:tcBorders>
              <w:bottom w:val="single" w:color="auto" w:sz="4" w:space="0"/>
            </w:tcBorders>
            <w:shd w:val="clear" w:color="auto" w:fill="auto"/>
            <w:noWrap w:val="0"/>
            <w:vAlign w:val="center"/>
          </w:tcPr>
          <w:p>
            <w:pPr>
              <w:spacing w:line="360" w:lineRule="exact"/>
              <w:jc w:val="left"/>
              <w:rPr>
                <w:rFonts w:hint="eastAsia" w:ascii="仿宋_GB2312" w:hAnsi="仿宋"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06" w:type="dxa"/>
            <w:gridSpan w:val="8"/>
            <w:tcBorders>
              <w:top w:val="single" w:color="auto" w:sz="4" w:space="0"/>
              <w:left w:val="nil"/>
              <w:bottom w:val="nil"/>
              <w:right w:val="nil"/>
            </w:tcBorders>
            <w:shd w:val="clear" w:color="auto" w:fill="auto"/>
            <w:noWrap w:val="0"/>
            <w:vAlign w:val="center"/>
          </w:tcPr>
          <w:p>
            <w:pPr>
              <w:spacing w:line="360" w:lineRule="exact"/>
              <w:jc w:val="left"/>
              <w:rPr>
                <w:rFonts w:hint="eastAsia" w:ascii="仿宋_GB2312" w:hAnsi="Times New Roman" w:eastAsia="仿宋_GB2312"/>
                <w:kern w:val="0"/>
                <w:sz w:val="24"/>
              </w:rPr>
            </w:pPr>
            <w:r>
              <w:rPr>
                <w:rFonts w:hint="eastAsia" w:ascii="仿宋_GB2312" w:hAnsi="宋体" w:eastAsia="仿宋_GB2312" w:cs="宋体"/>
                <w:b/>
                <w:bCs/>
                <w:kern w:val="0"/>
                <w:sz w:val="24"/>
              </w:rPr>
              <w:t>定级办法：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06" w:type="dxa"/>
            <w:gridSpan w:val="8"/>
            <w:tcBorders>
              <w:top w:val="nil"/>
              <w:left w:val="nil"/>
              <w:bottom w:val="nil"/>
              <w:right w:val="nil"/>
            </w:tcBorders>
            <w:shd w:val="clear" w:color="auto" w:fill="auto"/>
            <w:noWrap w:val="0"/>
            <w:vAlign w:val="center"/>
          </w:tcPr>
          <w:p>
            <w:pPr>
              <w:spacing w:line="36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1.基础指标符合相应要求，同时，评分指标达到相应分值的，认定为相应等级。基础指标符合要求，评分指标达不到相应分值的，暂缓定级，整改后达到相应分值，可认定相应等级，否则下调一级认定等级。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06" w:type="dxa"/>
            <w:gridSpan w:val="8"/>
            <w:tcBorders>
              <w:top w:val="nil"/>
              <w:left w:val="nil"/>
              <w:bottom w:val="nil"/>
              <w:right w:val="nil"/>
            </w:tcBorders>
            <w:shd w:val="clear" w:color="auto" w:fill="auto"/>
            <w:noWrap w:val="0"/>
            <w:vAlign w:val="center"/>
          </w:tcPr>
          <w:p>
            <w:pPr>
              <w:spacing w:line="36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2.A档学校须达到430分，B档须达到370分，C档学校须达到300分。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06" w:type="dxa"/>
            <w:gridSpan w:val="8"/>
            <w:tcBorders>
              <w:top w:val="nil"/>
              <w:left w:val="nil"/>
              <w:bottom w:val="nil"/>
              <w:right w:val="nil"/>
            </w:tcBorders>
            <w:shd w:val="clear" w:color="auto" w:fill="auto"/>
            <w:noWrap w:val="0"/>
            <w:vAlign w:val="center"/>
          </w:tcPr>
          <w:p>
            <w:pPr>
              <w:spacing w:line="36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3.办学特色鲜明，基础指标达到C档标准，同时，教师配备、生均实训设备值、专业水平达到A档标准，且评分指标达到400分的，可认定为B档学校；基础指标达到C档标准，同时，教师配备、生均实训设备值、专业水平达到B档标准，并有如下条件之一的，可认定为B档学校等级：（1）评分指标达到450分；（2）评分指标达到400分且在省级技能大赛近三年有两年获二等以上奖项。</w:t>
            </w:r>
          </w:p>
        </w:tc>
      </w:tr>
    </w:tbl>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A0CA0"/>
    <w:rsid w:val="54913508"/>
    <w:rsid w:val="67D7026A"/>
    <w:rsid w:val="714D384C"/>
    <w:rsid w:val="7A9A5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宋冠军</cp:lastModifiedBy>
  <dcterms:modified xsi:type="dcterms:W3CDTF">2020-12-14T09:25:32Z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